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биология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Биология»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специалистов среднего звена по специальностям: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15.02.08 Технология машиностроения базовой подготовки, входящей в укрупнённую группу 15.00.00 Машиностроение; 09.02.05 Прикладная информатика (по отраслям), базовой подготовки, входящей в укрупнённую группу 09.00.00 Информатика и вычислительная техника; 11.02.14 Электронные приборы и устройства, базовой подготовки, входящей в укрупнённую группу 11.00.00 Электроника, радиотехника и системы  связи; 11.02.02 Техническое обслуживание и ремонт радиоэлектронной техники (по отраслям), базовой подготовки, входящей в укрупнённую группу 11.00.00 Электроника, радиотехника и системы  связи;   27.02.02 Техническое регулирование и управление качеством, базовой подготовки, входящей в укрупнённую группу 27.00.00 Управление в технических системах; 12.02.05 Земельно-имущественные отношения,  базовой подготовки, входящей в укрупненную группу специальностей 12.00.00 Прикладная геология, горное дело, нефтегазовое дело и геодезия, </w:t>
      </w:r>
      <w:r>
        <w:rPr>
          <w:rFonts w:cs="Times New Roman" w:ascii="Times New Roman" w:hAnsi="Times New Roman"/>
          <w:sz w:val="24"/>
          <w:szCs w:val="24"/>
        </w:rPr>
        <w:t xml:space="preserve">и 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41"/>
          <w:rFonts w:cs="Times New Roman" w:ascii="Times New Roman" w:hAnsi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  <w:softHyphen/>
        <w:t xml:space="preserve">разования и </w:t>
      </w:r>
      <w:r>
        <w:rPr>
          <w:sz w:val="24"/>
          <w:szCs w:val="24"/>
        </w:rPr>
        <w:t xml:space="preserve">входит в общеобразовательный цикл </w:t>
      </w:r>
      <w:r>
        <w:rPr>
          <w:rStyle w:val="4"/>
          <w:sz w:val="24"/>
          <w:szCs w:val="24"/>
        </w:rPr>
        <w:t>основной профессиональной образовательной программы</w:t>
      </w:r>
      <w:r>
        <w:rPr>
          <w:sz w:val="24"/>
          <w:szCs w:val="24"/>
        </w:rPr>
        <w:t>.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/>
      </w:pPr>
      <w:r>
        <w:rPr/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основные положения</w:t>
      </w:r>
      <w:r>
        <w:rPr>
          <w:rFonts w:cs="Times New Roman" w:ascii="Times New Roman" w:hAnsi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>
        <w:rPr>
          <w:rFonts w:cs="Times New Roman" w:ascii="Times New Roman" w:hAnsi="Times New Roman"/>
          <w:sz w:val="24"/>
          <w:szCs w:val="24"/>
        </w:rPr>
        <w:t xml:space="preserve"> клетки; генов и хромосом; вида и экосистем (структура);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>
        <w:rPr>
          <w:rFonts w:cs="Times New Roman" w:ascii="Times New Roman" w:hAnsi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>
        <w:rPr>
          <w:rFonts w:cs="Times New Roman" w:ascii="Times New Roman" w:hAnsi="Times New Roman"/>
          <w:sz w:val="24"/>
          <w:szCs w:val="24"/>
        </w:rPr>
        <w:t xml:space="preserve"> в развитие биологической науки;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биологическую терминологию и символику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объяснять: </w:t>
      </w:r>
      <w:r>
        <w:rPr>
          <w:rFonts w:cs="Times New Roman"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решать</w:t>
      </w:r>
      <w:r>
        <w:rPr>
          <w:rFonts w:cs="Times New Roman"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описывать</w:t>
      </w:r>
      <w:r>
        <w:rPr>
          <w:rFonts w:cs="Times New Roman"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выявлять</w:t>
      </w:r>
      <w:r>
        <w:rPr>
          <w:rFonts w:cs="Times New Roman"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cs="Times New Roman"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>
        <w:rPr>
          <w:rFonts w:cs="Times New Roman"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изучать </w:t>
      </w:r>
      <w:r>
        <w:rPr>
          <w:rFonts w:cs="Times New Roman" w:ascii="Times New Roman" w:hAnsi="Times New Roman"/>
          <w:sz w:val="24"/>
          <w:szCs w:val="24"/>
        </w:rPr>
        <w:t>изменения в экосистемах на биологических моделях;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>
        <w:rPr>
          <w:rFonts w:cs="Times New Roman"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 w:val="false"/>
      <w:i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  <w:szCs w:val="24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  <w:sz w:val="18"/>
      <w:szCs w:val="18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2018-09-18T07:23:00Z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2018-09-18T07:23:00Z</dcterms:modified>
  <cp:revision>2</cp:revision>
  <dc:subject/>
  <dc:title/>
</cp:coreProperties>
</file>