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«ИНОСТРАННЫЙ ЯЗЫК (</w:t>
      </w:r>
      <w:r>
        <w:rPr>
          <w:b/>
          <w:caps/>
        </w:rPr>
        <w:t>английский) язык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spacing w:lineRule="auto" w:line="240" w:before="0" w:after="0"/>
        <w:ind w:firstLine="391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Style w:val="3"/>
          <w:rFonts w:cs="Times New Roman" w:ascii="Times New Roman" w:hAnsi="Times New Roman"/>
          <w:sz w:val="24"/>
          <w:szCs w:val="24"/>
        </w:rPr>
        <w:t>Английский язык»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квалифицированных рабочих</w:t>
      </w:r>
      <w:r>
        <w:rPr>
          <w:rFonts w:cs="Times New Roman" w:ascii="Times New Roman" w:hAnsi="Times New Roman"/>
          <w:sz w:val="24"/>
          <w:szCs w:val="24"/>
        </w:rPr>
        <w:t xml:space="preserve"> по профессии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15.01.30 Слесарь, входящей в состав укрупнённой группы специальностей 15.00.00 Машиностроение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391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ind w:right="20" w:firstLine="426"/>
        <w:jc w:val="both"/>
        <w:rPr>
          <w:rFonts w:ascii="Century Schoolbook" w:hAnsi="Century Schoolbook" w:eastAsia="Century Schoolbook" w:cs="Century Schoolbook"/>
          <w:color w:val="00000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Style w:val="8"/>
          <w:rFonts w:cs="Times New Roman" w:ascii="Times New Roman" w:hAnsi="Times New Roman"/>
          <w:sz w:val="24"/>
          <w:szCs w:val="24"/>
        </w:rPr>
        <w:t xml:space="preserve">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 </w:t>
      </w:r>
      <w:r>
        <w:rPr>
          <w:rFonts w:eastAsia="Century Schoolbook"/>
          <w:color w:val="000000"/>
          <w:shd w:fill="FFFFFF" w:val="clear"/>
        </w:rPr>
        <w:t xml:space="preserve">и </w:t>
      </w:r>
      <w:r>
        <w:rPr>
          <w:rFonts w:eastAsia="Century Schoolbook" w:cs="Century Schoolbook" w:ascii="Century Schoolbook" w:hAnsi="Century Schoolbook"/>
          <w:color w:val="000000"/>
        </w:rPr>
        <w:t>входит в общеобразовательный цикл основной профессиональной образовательной программы.</w:t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Century Schoolbook" w:hAnsi="Century Schoolbook" w:eastAsia="Century Schoolbook" w:cs="Century Schoolbook"/>
          <w:color w:val="000000"/>
        </w:rPr>
      </w:pPr>
      <w:r>
        <w:rPr>
          <w:rFonts w:eastAsia="Century Schoolbook" w:cs="Century Schoolbook"/>
          <w:color w:val="00000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говорение</w:t>
      </w:r>
    </w:p>
    <w:p>
      <w:pPr>
        <w:pStyle w:val="Normal"/>
        <w:numPr>
          <w:ilvl w:val="0"/>
          <w:numId w:val="3"/>
        </w:numPr>
        <w:shd w:fill="FFFFFF" w:val="clear"/>
        <w:snapToGrid w:val="false"/>
        <w:spacing w:lineRule="auto" w:line="240" w:before="0" w:after="0"/>
        <w:ind w:left="567" w:right="-142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>
      <w:pPr>
        <w:pStyle w:val="Normal"/>
        <w:numPr>
          <w:ilvl w:val="0"/>
          <w:numId w:val="3"/>
        </w:numPr>
        <w:shd w:fill="FFFFFF" w:val="clear"/>
        <w:snapToGrid w:val="false"/>
        <w:spacing w:lineRule="auto" w:line="240" w:before="60" w:after="0"/>
        <w:ind w:left="567" w:right="-142" w:hanging="567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>
      <w:pPr>
        <w:pStyle w:val="Normal"/>
        <w:spacing w:lineRule="auto" w:line="240" w:before="120" w:after="120"/>
        <w:ind w:right="-142" w:firstLine="567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аудирование</w:t>
      </w:r>
    </w:p>
    <w:p>
      <w:pPr>
        <w:pStyle w:val="Normal"/>
        <w:numPr>
          <w:ilvl w:val="0"/>
          <w:numId w:val="3"/>
        </w:numPr>
        <w:shd w:fill="FFFFFF" w:val="clear"/>
        <w:snapToGrid w:val="false"/>
        <w:spacing w:lineRule="auto" w:line="240" w:before="60" w:after="0"/>
        <w:ind w:left="567" w:right="-142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>
      <w:pPr>
        <w:pStyle w:val="Normal"/>
        <w:spacing w:lineRule="auto" w:line="240" w:before="60" w:after="60"/>
        <w:ind w:right="-142" w:firstLine="567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чтение</w:t>
      </w:r>
    </w:p>
    <w:p>
      <w:pPr>
        <w:pStyle w:val="Normal"/>
        <w:numPr>
          <w:ilvl w:val="0"/>
          <w:numId w:val="3"/>
        </w:numPr>
        <w:shd w:fill="FFFFFF" w:val="clear"/>
        <w:snapToGrid w:val="false"/>
        <w:spacing w:lineRule="auto" w:line="240" w:before="60" w:after="0"/>
        <w:ind w:left="567" w:right="-142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>
      <w:pPr>
        <w:pStyle w:val="Normal"/>
        <w:spacing w:lineRule="auto" w:line="240" w:before="60" w:after="60"/>
        <w:ind w:right="-142" w:firstLine="567"/>
        <w:rPr>
          <w:rFonts w:ascii="Times New Roman" w:hAnsi="Times New Roman" w:cs="Times New Roman"/>
          <w:b/>
          <w:b/>
          <w:i/>
          <w:i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/>
          <w:sz w:val="24"/>
          <w:szCs w:val="24"/>
          <w:lang w:val="en-US"/>
        </w:rPr>
        <w:t>письменная речь</w:t>
      </w:r>
    </w:p>
    <w:p>
      <w:pPr>
        <w:pStyle w:val="Normal"/>
        <w:numPr>
          <w:ilvl w:val="0"/>
          <w:numId w:val="3"/>
        </w:numPr>
        <w:shd w:fill="FFFFFF" w:val="clear"/>
        <w:snapToGrid w:val="false"/>
        <w:spacing w:lineRule="auto" w:line="240" w:before="60" w:after="0"/>
        <w:ind w:left="567" w:right="-142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  <w:i w:val="false"/>
      <w:sz w:val="24"/>
    </w:rPr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  <w:sz w:val="18"/>
      <w:szCs w:val="18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b w:val="false"/>
      <w:i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  <w:sz w:val="18"/>
      <w:szCs w:val="1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  <w:sz w:val="22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Wingdings" w:hAnsi="Wingdings" w:cs="Wingdings"/>
      <w:sz w:val="20"/>
      <w:szCs w:val="20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b w:val="false"/>
      <w:i w:val="false"/>
    </w:rPr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Wingdings" w:hAnsi="Wingdings" w:cs="Wingdings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3">
    <w:name w:val="WW8Num33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8">
    <w:name w:val="Основной текст8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Основной текст19"/>
    <w:basedOn w:val="Normal"/>
    <w:qFormat/>
    <w:pPr>
      <w:shd w:fill="FFFFFF" w:val="clear"/>
      <w:spacing w:lineRule="exact" w:line="317" w:before="3480" w:after="0"/>
      <w:ind w:hanging="600"/>
      <w:jc w:val="center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2018-09-19T03:37:00Z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2018-10-08T04:05:00Z</dcterms:modified>
  <cp:revision>5</cp:revision>
  <dc:subject/>
  <dc:title/>
</cp:coreProperties>
</file>